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2E" w:rsidRDefault="00BF5AAB">
      <w:pPr>
        <w:pStyle w:val="Standard"/>
        <w:jc w:val="center"/>
        <w:rPr>
          <w:rFonts w:ascii="Times New Roman" w:hAnsi="Times New Roman"/>
          <w:b/>
          <w:bCs/>
          <w:color w:val="1C1F20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1C1F20"/>
          <w:sz w:val="28"/>
          <w:szCs w:val="28"/>
          <w:lang w:val="ru-RU"/>
        </w:rPr>
        <w:t>Доклад об антимонопольном комплаенсе</w:t>
      </w:r>
    </w:p>
    <w:p w:rsidR="0041342E" w:rsidRDefault="00BF5AAB">
      <w:pPr>
        <w:pStyle w:val="Standard"/>
        <w:jc w:val="center"/>
        <w:rPr>
          <w:rFonts w:ascii="Times New Roman" w:hAnsi="Times New Roman"/>
          <w:b/>
          <w:bCs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1C1F20"/>
          <w:sz w:val="28"/>
          <w:szCs w:val="28"/>
          <w:lang w:val="ru-RU"/>
        </w:rPr>
        <w:t>министерства здравоохранения Астраханской области</w:t>
      </w:r>
    </w:p>
    <w:p w:rsidR="0041342E" w:rsidRDefault="0041342E">
      <w:pPr>
        <w:pStyle w:val="Standard"/>
        <w:jc w:val="center"/>
        <w:rPr>
          <w:rFonts w:ascii="Times New Roman" w:hAnsi="Times New Roman"/>
          <w:b/>
          <w:bCs/>
          <w:color w:val="1C1F20"/>
          <w:sz w:val="28"/>
          <w:szCs w:val="28"/>
          <w:lang w:val="ru-RU"/>
        </w:rPr>
      </w:pPr>
    </w:p>
    <w:p w:rsidR="0041342E" w:rsidRDefault="00BF5AA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 xml:space="preserve">В целях реализации Национального плана развития конкуренции в Российской Федерации на 2018 -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2020 годы, утвержденного указом Президента Российской Федерации от 21 декабря 2017 года №</w:t>
      </w:r>
      <w:r>
        <w:rPr>
          <w:rFonts w:ascii="Times New Roman" w:hAnsi="Times New Roman"/>
          <w:i/>
          <w:color w:val="1C1F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 xml:space="preserve">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года №</w:t>
      </w:r>
      <w:r>
        <w:rPr>
          <w:rFonts w:ascii="Times New Roman" w:hAnsi="Times New Roman"/>
          <w:i/>
          <w:color w:val="1C1F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2258-р и распоряжением Правительства Астраханской области от 18 января 2019 года №</w:t>
      </w:r>
      <w:r>
        <w:rPr>
          <w:rFonts w:ascii="Times New Roman" w:hAnsi="Times New Roman"/>
          <w:i/>
          <w:color w:val="1C1F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 xml:space="preserve">9-ПР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Российской Федерации от 21. 21.12.2017 № 618» в министерстве здравоохранения Астраханской области (далее - министерство) создана система внутреннего обеспечения соответствия требованиям антимонопольного законодательства (антимонопольный комплаенс).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>Задача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ми антимонопольного комплаенса являются: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>а) анализирование и выявление рисков нарушения антимонопольного законодательства;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>б) управление рисками нарушения антимонопольного законодательства;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>в) контроль за соответствием деятельности министерства требован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иям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>антимонопольного законодательства;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>г) проведение оценки эффективности функционирования в министерстве антимонопольного комплаенса.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C1F20"/>
          <w:sz w:val="28"/>
          <w:szCs w:val="28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>Функции уполномоченного подразделения (должностного лица), связанные с организацией и функционированием антимонопольног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о комплаенса, осуществляет руководитель министерства.</w:t>
      </w:r>
    </w:p>
    <w:p w:rsidR="0041342E" w:rsidRPr="00944B41" w:rsidRDefault="00BF5AAB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 xml:space="preserve">Министерством проведен анализ выявленных нарушений антимонопольного законодательства в деятельности министерства за </w:t>
      </w:r>
      <w:r>
        <w:rPr>
          <w:rFonts w:ascii="Times New Roman" w:hAnsi="Times New Roman"/>
          <w:color w:val="1C1F20"/>
          <w:sz w:val="28"/>
          <w:szCs w:val="28"/>
          <w:shd w:val="clear" w:color="auto" w:fill="FFFFFF"/>
          <w:lang w:val="ru-RU"/>
        </w:rPr>
        <w:t>2022 год.</w:t>
      </w:r>
    </w:p>
    <w:p w:rsidR="0041342E" w:rsidRPr="00944B41" w:rsidRDefault="00BF5AAB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1C1F20"/>
          <w:sz w:val="28"/>
          <w:szCs w:val="28"/>
          <w:lang w:val="ru-RU"/>
        </w:rPr>
        <w:tab/>
        <w:t xml:space="preserve">За 2022 год антимонопольным органом было выявлено нарушение министерством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положений Федерального закона от 5 апреля 2013 года №</w:t>
      </w:r>
      <w:r>
        <w:rPr>
          <w:rFonts w:ascii="Times New Roman" w:hAnsi="Times New Roman"/>
          <w:i/>
          <w:color w:val="1C1F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44-ФЗ «О контрактной системе в сфере закупок товаров, работ, услуг для обеспечения государственных и муниципальных нужд» при рассмотрении 18</w:t>
      </w:r>
      <w:r>
        <w:rPr>
          <w:rFonts w:ascii="Times New Roman" w:hAnsi="Times New Roman"/>
          <w:b/>
          <w:color w:val="1C1F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>жалоб участников закупок: в 1 случае жалоба признана частично</w:t>
      </w:r>
      <w:r>
        <w:rPr>
          <w:rFonts w:ascii="Times New Roman" w:hAnsi="Times New Roman"/>
          <w:color w:val="1C1F20"/>
          <w:sz w:val="28"/>
          <w:szCs w:val="28"/>
          <w:lang w:val="ru-RU"/>
        </w:rPr>
        <w:t xml:space="preserve"> обоснованной, в 17 случаях - обоснованными. Нарушения допускались при описании в документации о закупке объекта закупки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.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91C1D"/>
          <w:sz w:val="28"/>
          <w:szCs w:val="28"/>
          <w:lang w:val="ru-RU"/>
        </w:rPr>
      </w:pPr>
      <w:r>
        <w:rPr>
          <w:rFonts w:ascii="Times New Roman" w:hAnsi="Times New Roman"/>
          <w:color w:val="191C1D"/>
          <w:sz w:val="28"/>
          <w:szCs w:val="28"/>
          <w:lang w:val="ru-RU"/>
        </w:rPr>
        <w:tab/>
        <w:t>Нарушений антимонопольного законодательства в деятельности министерства при рассмотрении указанных жалоб выявлено не было.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91C1D"/>
          <w:sz w:val="28"/>
          <w:szCs w:val="28"/>
          <w:lang w:val="ru-RU"/>
        </w:rPr>
      </w:pPr>
      <w:r>
        <w:rPr>
          <w:rFonts w:ascii="Times New Roman" w:hAnsi="Times New Roman"/>
          <w:color w:val="191C1D"/>
          <w:sz w:val="28"/>
          <w:szCs w:val="28"/>
          <w:lang w:val="ru-RU"/>
        </w:rPr>
        <w:tab/>
        <w:t>В целях в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сформирован и поддерживается в актуальном состоянии исчерпывающий пе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речень нормативных правовых актов министерства. В настоящее время замечаний и предложений к нормативным правовым актам министерства не имеется.</w:t>
      </w:r>
    </w:p>
    <w:p w:rsidR="0041342E" w:rsidRDefault="00BF5AAB">
      <w:pPr>
        <w:pStyle w:val="Standard"/>
        <w:jc w:val="both"/>
        <w:rPr>
          <w:rFonts w:ascii="Times New Roman" w:hAnsi="Times New Roman"/>
          <w:color w:val="191C1D"/>
          <w:sz w:val="28"/>
          <w:szCs w:val="28"/>
          <w:lang w:val="ru-RU"/>
        </w:rPr>
      </w:pPr>
      <w:r>
        <w:rPr>
          <w:rFonts w:ascii="Times New Roman" w:hAnsi="Times New Roman"/>
          <w:color w:val="191C1D"/>
          <w:sz w:val="28"/>
          <w:szCs w:val="28"/>
          <w:lang w:val="ru-RU"/>
        </w:rPr>
        <w:lastRenderedPageBreak/>
        <w:tab/>
        <w:t>По итогам проведенного анализа нормативных правовых актов министерством сделан вывод об их соответствии антимон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опольному законодательству, о нецелесообразности внесения изменений в действующие нормативные правовые акты. Выявлены риски нарушения антимонопольного законодательства при осуществлении министерством следующей деятельности: осуществление закупок товаров, р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абот, услуг для обеспечения государственных нужд. С учетом выявленных рисков нарушения антимонопольного законодательства разработан Перечень мероприятий по снижению рисков нарушения антимонопольного законодательства, включающий, в том числе: проведение ана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лиза действующих нормативных правовых актов министерства на предмет выявления рисков нарушения антимонопольного законодательства; проведение анализа проектов нормативных правовых актов на предмет выявления рисков антимонопольного законодательства; проведен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ие анализа соглашений, заключаемых министерством, на предмет выявления рисков нарушения антимонопольного законодательства; мероприятия по повышению профессиональной компетентности специалистов министерства; изучение правоприменительной практики антимонопол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ьных органов, судов; сбор сведений о правоприменительной практике в министерстве. Мероприятия, включенные в указанный Перечень, исполнялись управлением, иными структурными подразделениями министерства.</w:t>
      </w:r>
    </w:p>
    <w:p w:rsidR="0041342E" w:rsidRPr="00944B41" w:rsidRDefault="00BF5AAB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191C1D"/>
          <w:sz w:val="28"/>
          <w:szCs w:val="28"/>
          <w:lang w:val="ru-RU"/>
        </w:rPr>
        <w:tab/>
        <w:t>По состоянию на 1 января 2023 года министерством дост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 xml:space="preserve">игнуты ключевые показатели эффективности функционирования антимонопольного комплаенса: </w:t>
      </w:r>
      <w:r>
        <w:rPr>
          <w:rFonts w:ascii="Times New Roman" w:hAnsi="Times New Roman"/>
          <w:color w:val="1D2020"/>
          <w:sz w:val="28"/>
          <w:szCs w:val="28"/>
          <w:lang w:val="ru-RU"/>
        </w:rPr>
        <w:t>коэффициент снижения количества нарушений антимонопольного законодательства (по сравнению с предыдущим годом) – 0; доля проектов нормативных правовых актов, в которых вы</w:t>
      </w:r>
      <w:r>
        <w:rPr>
          <w:rFonts w:ascii="Times New Roman" w:hAnsi="Times New Roman"/>
          <w:color w:val="1D2020"/>
          <w:sz w:val="28"/>
          <w:szCs w:val="28"/>
          <w:lang w:val="ru-RU"/>
        </w:rPr>
        <w:t xml:space="preserve">явлены риски нарушения антимонопольного законодательства - 0 (в отчетном периоде нормативных правовых актов 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министерства</w:t>
      </w:r>
      <w:r>
        <w:rPr>
          <w:rFonts w:ascii="Times New Roman" w:hAnsi="Times New Roman"/>
          <w:color w:val="1D2020"/>
          <w:sz w:val="28"/>
          <w:szCs w:val="28"/>
          <w:lang w:val="ru-RU"/>
        </w:rPr>
        <w:t>, в которых антимонопольным органом выявлены нарушения антимонопольного законодательства</w:t>
      </w:r>
      <w:r>
        <w:rPr>
          <w:rFonts w:ascii="Times New Roman" w:hAnsi="Times New Roman"/>
          <w:color w:val="393B41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1D2020"/>
          <w:sz w:val="28"/>
          <w:szCs w:val="28"/>
          <w:lang w:val="ru-RU"/>
        </w:rPr>
        <w:t xml:space="preserve">не имеется); доля нормативных правовых актов, </w:t>
      </w:r>
      <w:r>
        <w:rPr>
          <w:rFonts w:ascii="Times New Roman" w:hAnsi="Times New Roman"/>
          <w:color w:val="1D2020"/>
          <w:sz w:val="28"/>
          <w:szCs w:val="28"/>
          <w:lang w:val="ru-RU"/>
        </w:rPr>
        <w:t xml:space="preserve">в которых выявлены риски нарушения антимонопольного законодательства - 0 (в отчетном периоде нормативных правовых актов </w:t>
      </w:r>
      <w:r>
        <w:rPr>
          <w:rFonts w:ascii="Times New Roman" w:hAnsi="Times New Roman"/>
          <w:color w:val="191C1D"/>
          <w:sz w:val="28"/>
          <w:szCs w:val="28"/>
          <w:lang w:val="ru-RU"/>
        </w:rPr>
        <w:t>министерства</w:t>
      </w:r>
      <w:r>
        <w:rPr>
          <w:rFonts w:ascii="Times New Roman" w:hAnsi="Times New Roman"/>
          <w:color w:val="1D2020"/>
          <w:sz w:val="28"/>
          <w:szCs w:val="28"/>
          <w:lang w:val="ru-RU"/>
        </w:rPr>
        <w:t>, в которых антимонопольным органом выявлены нарушения антимонопольного законодательства, не имеется).</w:t>
      </w:r>
    </w:p>
    <w:p w:rsidR="0041342E" w:rsidRDefault="0041342E">
      <w:pPr>
        <w:pStyle w:val="Standard"/>
        <w:jc w:val="both"/>
        <w:rPr>
          <w:rFonts w:ascii="Times New Roman" w:hAnsi="Times New Roman"/>
          <w:iCs/>
          <w:color w:val="5D6361"/>
          <w:sz w:val="28"/>
          <w:szCs w:val="28"/>
          <w:lang w:val="ru-RU"/>
        </w:rPr>
      </w:pPr>
    </w:p>
    <w:sectPr w:rsidR="0041342E">
      <w:pgSz w:w="11906" w:h="16838"/>
      <w:pgMar w:top="1134" w:right="567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AB" w:rsidRDefault="00BF5AAB">
      <w:pPr>
        <w:rPr>
          <w:rFonts w:hint="eastAsia"/>
        </w:rPr>
      </w:pPr>
      <w:r>
        <w:separator/>
      </w:r>
    </w:p>
  </w:endnote>
  <w:endnote w:type="continuationSeparator" w:id="0">
    <w:p w:rsidR="00BF5AAB" w:rsidRDefault="00BF5A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AB" w:rsidRDefault="00BF5A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F5AAB" w:rsidRDefault="00BF5A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1342E"/>
    <w:rsid w:val="0041342E"/>
    <w:rsid w:val="00944B41"/>
    <w:rsid w:val="00BF5AAB"/>
    <w:rsid w:val="00D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43738-1C3D-41E9-A46F-A98EFDE2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 Екатерина Александровна</dc:creator>
  <cp:lastModifiedBy>Балашева Екатерина Владиславовна</cp:lastModifiedBy>
  <cp:revision>2</cp:revision>
  <cp:lastPrinted>2023-01-25T11:32:00Z</cp:lastPrinted>
  <dcterms:created xsi:type="dcterms:W3CDTF">2023-02-17T10:25:00Z</dcterms:created>
  <dcterms:modified xsi:type="dcterms:W3CDTF">2023-02-17T10:25:00Z</dcterms:modified>
</cp:coreProperties>
</file>