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A6" w:rsidRPr="007515A6" w:rsidRDefault="007515A6" w:rsidP="007515A6">
      <w:pPr>
        <w:pStyle w:val="1"/>
        <w:ind w:left="974" w:right="73"/>
        <w:jc w:val="center"/>
        <w:rPr>
          <w:color w:val="FF0000"/>
        </w:rPr>
      </w:pPr>
      <w:r w:rsidRPr="007515A6">
        <w:rPr>
          <w:color w:val="FF0000"/>
        </w:rPr>
        <w:t>Внимание!</w:t>
      </w:r>
    </w:p>
    <w:p w:rsidR="007515A6" w:rsidRDefault="007515A6" w:rsidP="007515A6">
      <w:pPr>
        <w:spacing w:after="0" w:line="259" w:lineRule="auto"/>
        <w:ind w:left="279" w:right="0" w:firstLine="0"/>
        <w:jc w:val="left"/>
      </w:pPr>
    </w:p>
    <w:p w:rsidR="00FB55CC" w:rsidRDefault="00FB55CC" w:rsidP="00FB55CC">
      <w:pPr>
        <w:spacing w:after="0" w:line="259" w:lineRule="auto"/>
        <w:ind w:left="627" w:right="0" w:firstLine="0"/>
        <w:jc w:val="center"/>
      </w:pPr>
    </w:p>
    <w:p w:rsidR="007B73F3" w:rsidRDefault="007B73F3" w:rsidP="007B73F3">
      <w:pPr>
        <w:spacing w:after="0" w:line="259" w:lineRule="auto"/>
        <w:ind w:left="978" w:right="0" w:firstLine="0"/>
        <w:jc w:val="center"/>
      </w:pPr>
      <w:r w:rsidRPr="007B73F3">
        <w:rPr>
          <w:b/>
        </w:rPr>
        <w:t>Таблица 1003</w:t>
      </w:r>
    </w:p>
    <w:p w:rsidR="00FB55CC" w:rsidRDefault="007B73F3" w:rsidP="007B73F3">
      <w:pPr>
        <w:spacing w:after="0" w:line="259" w:lineRule="auto"/>
        <w:ind w:left="0" w:right="0" w:firstLine="0"/>
        <w:jc w:val="left"/>
        <w:rPr>
          <w:color w:val="FF0000"/>
        </w:rPr>
      </w:pPr>
      <w:r w:rsidRPr="000E6FB7">
        <w:rPr>
          <w:b/>
        </w:rPr>
        <w:t>Передвижные подразделения и формы работы</w:t>
      </w:r>
      <w:r>
        <w:t xml:space="preserve">- отражаются сведения о количестве и деятельности передвижных подразделений и передвижных форм работы (врачебные бригады). </w:t>
      </w:r>
      <w:r w:rsidRPr="007B73F3">
        <w:rPr>
          <w:color w:val="FF0000"/>
        </w:rPr>
        <w:t>Данные не должны противоречить сведениям, представленным в таблицах-1001, 5117, 2102, 2105, 2700, 2710.</w:t>
      </w:r>
      <w:r>
        <w:rPr>
          <w:color w:val="FF0000"/>
        </w:rPr>
        <w:t xml:space="preserve"> </w:t>
      </w:r>
      <w:r w:rsidRPr="007B73F3">
        <w:rPr>
          <w:color w:val="auto"/>
        </w:rPr>
        <w:t xml:space="preserve">При </w:t>
      </w:r>
      <w:r>
        <w:rPr>
          <w:color w:val="auto"/>
        </w:rPr>
        <w:t xml:space="preserve">наличии передвижных флюорографических и </w:t>
      </w:r>
      <w:r w:rsidR="000E6FB7">
        <w:rPr>
          <w:color w:val="auto"/>
        </w:rPr>
        <w:t xml:space="preserve">маммографических установок сведения об их деятельности должны быть отражены в таблице </w:t>
      </w:r>
      <w:r w:rsidR="000E6FB7" w:rsidRPr="000E6FB7">
        <w:rPr>
          <w:color w:val="FF0000"/>
        </w:rPr>
        <w:t>5114.</w:t>
      </w:r>
    </w:p>
    <w:p w:rsidR="00857E01" w:rsidRPr="000E6FB7" w:rsidRDefault="00857E01" w:rsidP="007B73F3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F75BB7" w:rsidRDefault="00FB55CC" w:rsidP="000E6FB7">
      <w:pPr>
        <w:ind w:left="264" w:right="54"/>
        <w:jc w:val="center"/>
        <w:rPr>
          <w:b/>
        </w:rPr>
      </w:pPr>
      <w:r>
        <w:rPr>
          <w:b/>
        </w:rPr>
        <w:t xml:space="preserve">Таблицу </w:t>
      </w:r>
      <w:r w:rsidR="000E6FB7">
        <w:rPr>
          <w:b/>
        </w:rPr>
        <w:t>1004</w:t>
      </w:r>
    </w:p>
    <w:p w:rsidR="000E6FB7" w:rsidRPr="00715B05" w:rsidRDefault="000E6FB7" w:rsidP="00857E01">
      <w:pPr>
        <w:ind w:left="0" w:right="54" w:firstLine="0"/>
        <w:rPr>
          <w:color w:val="FF0000"/>
        </w:rPr>
      </w:pPr>
      <w:r>
        <w:rPr>
          <w:b/>
        </w:rPr>
        <w:t xml:space="preserve">Кабинеты, отделения, подразделения амбулаторной акушерско-гинекологической помощи- </w:t>
      </w:r>
      <w:r w:rsidRPr="000E6FB7">
        <w:t>отражаются</w:t>
      </w:r>
      <w:r>
        <w:t xml:space="preserve"> сведения о наличии, входящих в состав медицинской организации, акушерско-гинекологических кабинетов и женский консультаций расположенных: в малых городах с численностью общего населения до 50 тыс. человек; поселках городского типа; в сельской местности. </w:t>
      </w:r>
      <w:r w:rsidR="00857E01">
        <w:t>Данные не должны противоречить сведениям, представленным в таблице -</w:t>
      </w:r>
      <w:r w:rsidR="00857E01" w:rsidRPr="00857E01">
        <w:rPr>
          <w:color w:val="FF0000"/>
        </w:rPr>
        <w:t>1001</w:t>
      </w:r>
      <w:r w:rsidR="00857E01">
        <w:t>.</w:t>
      </w:r>
      <w:r w:rsidR="00715B05">
        <w:t xml:space="preserve"> </w:t>
      </w:r>
      <w:r w:rsidR="00715B05" w:rsidRPr="00715B05">
        <w:rPr>
          <w:color w:val="FF0000"/>
        </w:rPr>
        <w:t>Визирует таблицу Уханова Юлиана Юрьевна</w:t>
      </w:r>
    </w:p>
    <w:p w:rsidR="00857E01" w:rsidRDefault="00857E01" w:rsidP="00857E01">
      <w:pPr>
        <w:ind w:left="0" w:right="54" w:firstLine="0"/>
      </w:pPr>
      <w:r>
        <w:t>ПРОСТАВЛЯЮТСЯ ВСЕ ОТДЕЛЕНИЯ И КАБИНЕТЫ</w:t>
      </w:r>
    </w:p>
    <w:p w:rsidR="00857E01" w:rsidRDefault="00857E01" w:rsidP="00857E01">
      <w:pPr>
        <w:ind w:left="0" w:right="54" w:firstLine="0"/>
        <w:rPr>
          <w:b/>
          <w:color w:val="auto"/>
        </w:rPr>
      </w:pPr>
      <w:r>
        <w:t xml:space="preserve">- расположенные в </w:t>
      </w:r>
      <w:r w:rsidRPr="00857E01">
        <w:rPr>
          <w:b/>
          <w:color w:val="auto"/>
        </w:rPr>
        <w:t>малых городах, т.е. это город, с численностью населения до 50 тыс. человек</w:t>
      </w:r>
    </w:p>
    <w:p w:rsidR="00857E01" w:rsidRDefault="00857E01" w:rsidP="00857E01">
      <w:pPr>
        <w:ind w:left="0" w:right="54" w:firstLine="0"/>
        <w:rPr>
          <w:b/>
          <w:color w:val="auto"/>
        </w:rPr>
      </w:pPr>
      <w:r>
        <w:rPr>
          <w:b/>
          <w:color w:val="auto"/>
        </w:rPr>
        <w:t>- в поселках городского типа (не зависимо от числа населения)</w:t>
      </w:r>
    </w:p>
    <w:p w:rsidR="00857E01" w:rsidRDefault="00857E01" w:rsidP="00857E01">
      <w:pPr>
        <w:ind w:left="0" w:right="54" w:firstLine="0"/>
        <w:rPr>
          <w:b/>
          <w:color w:val="auto"/>
        </w:rPr>
      </w:pPr>
      <w:r>
        <w:rPr>
          <w:b/>
          <w:color w:val="auto"/>
        </w:rPr>
        <w:t>- в сельской местности</w:t>
      </w:r>
    </w:p>
    <w:p w:rsidR="00857E01" w:rsidRDefault="00857E01" w:rsidP="00857E01">
      <w:pPr>
        <w:ind w:left="0" w:right="54" w:firstLine="0"/>
        <w:rPr>
          <w:b/>
          <w:color w:val="auto"/>
        </w:rPr>
      </w:pPr>
      <w:r>
        <w:rPr>
          <w:b/>
          <w:color w:val="auto"/>
        </w:rPr>
        <w:t xml:space="preserve">Таблица 1004 </w:t>
      </w:r>
    </w:p>
    <w:p w:rsidR="00857E01" w:rsidRDefault="00857E01" w:rsidP="00857E01">
      <w:pPr>
        <w:ind w:left="0" w:right="54" w:firstLine="0"/>
        <w:rPr>
          <w:b/>
          <w:color w:val="FF0000"/>
        </w:rPr>
      </w:pPr>
      <w:r>
        <w:rPr>
          <w:b/>
          <w:color w:val="FF0000"/>
        </w:rPr>
        <w:t>С</w:t>
      </w:r>
      <w:r w:rsidRPr="00857E01">
        <w:rPr>
          <w:b/>
          <w:color w:val="FF0000"/>
        </w:rPr>
        <w:t>ложив графы 1+2+3 должно быть значение меньше либо равно таблице 1001, строке 1</w:t>
      </w:r>
    </w:p>
    <w:p w:rsidR="00857E01" w:rsidRPr="00857E01" w:rsidRDefault="00857E01" w:rsidP="00857E01">
      <w:pPr>
        <w:ind w:left="0" w:right="54" w:firstLine="0"/>
        <w:rPr>
          <w:b/>
          <w:color w:val="FF0000"/>
          <w:sz w:val="28"/>
          <w:szCs w:val="28"/>
        </w:rPr>
      </w:pPr>
      <w:r w:rsidRPr="00857E01">
        <w:rPr>
          <w:b/>
          <w:color w:val="FF0000"/>
          <w:sz w:val="28"/>
          <w:szCs w:val="28"/>
        </w:rPr>
        <w:t>Сложив</w:t>
      </w:r>
      <w:r w:rsidR="007C24F3">
        <w:rPr>
          <w:b/>
          <w:color w:val="FF0000"/>
          <w:sz w:val="28"/>
          <w:szCs w:val="28"/>
        </w:rPr>
        <w:t xml:space="preserve"> графы 4+5+6 должно быть значение меньше либо равно таблице 1001, строке 19</w:t>
      </w:r>
    </w:p>
    <w:p w:rsidR="007C24F3" w:rsidRDefault="007C24F3" w:rsidP="007C24F3">
      <w:pPr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1051</w:t>
      </w:r>
    </w:p>
    <w:p w:rsidR="00715B05" w:rsidRDefault="00715B05" w:rsidP="00715B05">
      <w:pPr>
        <w:spacing w:after="0"/>
        <w:ind w:left="0" w:firstLine="0"/>
        <w:jc w:val="left"/>
        <w:rPr>
          <w:b/>
          <w:sz w:val="28"/>
          <w:szCs w:val="28"/>
        </w:rPr>
      </w:pPr>
      <w:r w:rsidRPr="00715B05">
        <w:rPr>
          <w:sz w:val="28"/>
          <w:szCs w:val="28"/>
        </w:rPr>
        <w:t>В таблице указывают сведения о числе женщин в возрасте 18 лет и старше, проживающих в сельской местности, поселках городского типа и малых городах, прикрепленных к женским консультациям, и получивших медицинскую помощь. Данные не должны противоречить сведениям, представленным в таблице</w:t>
      </w:r>
      <w:r>
        <w:rPr>
          <w:b/>
          <w:sz w:val="28"/>
          <w:szCs w:val="28"/>
        </w:rPr>
        <w:t>-</w:t>
      </w:r>
      <w:r w:rsidRPr="00715B05">
        <w:rPr>
          <w:b/>
          <w:color w:val="FF0000"/>
          <w:sz w:val="28"/>
          <w:szCs w:val="28"/>
        </w:rPr>
        <w:t>1004,1050</w:t>
      </w:r>
      <w:r>
        <w:rPr>
          <w:b/>
          <w:sz w:val="28"/>
          <w:szCs w:val="28"/>
        </w:rPr>
        <w:t>.</w:t>
      </w:r>
    </w:p>
    <w:p w:rsidR="007C24F3" w:rsidRDefault="007C24F3" w:rsidP="00715B05">
      <w:pPr>
        <w:spacing w:after="0"/>
        <w:ind w:firstLine="0"/>
        <w:jc w:val="left"/>
        <w:rPr>
          <w:b/>
          <w:sz w:val="28"/>
          <w:szCs w:val="28"/>
        </w:rPr>
      </w:pPr>
    </w:p>
    <w:p w:rsidR="00F75BB7" w:rsidRDefault="00F75BB7" w:rsidP="00BD5157">
      <w:pPr>
        <w:ind w:left="2" w:right="343"/>
      </w:pPr>
      <w:bookmarkStart w:id="0" w:name="_GoBack"/>
      <w:bookmarkEnd w:id="0"/>
    </w:p>
    <w:sectPr w:rsidR="00F7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F1" w:rsidRDefault="002015F1" w:rsidP="007515A6">
      <w:pPr>
        <w:spacing w:after="0" w:line="240" w:lineRule="auto"/>
      </w:pPr>
      <w:r>
        <w:separator/>
      </w:r>
    </w:p>
  </w:endnote>
  <w:endnote w:type="continuationSeparator" w:id="0">
    <w:p w:rsidR="002015F1" w:rsidRDefault="002015F1" w:rsidP="0075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F1" w:rsidRDefault="002015F1" w:rsidP="007515A6">
      <w:pPr>
        <w:spacing w:after="0" w:line="240" w:lineRule="auto"/>
      </w:pPr>
      <w:r>
        <w:separator/>
      </w:r>
    </w:p>
  </w:footnote>
  <w:footnote w:type="continuationSeparator" w:id="0">
    <w:p w:rsidR="002015F1" w:rsidRDefault="002015F1" w:rsidP="0075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C7DEC"/>
    <w:multiLevelType w:val="hybridMultilevel"/>
    <w:tmpl w:val="4522B57C"/>
    <w:lvl w:ilvl="0" w:tplc="0A70A956">
      <w:start w:val="2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76451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2A73B6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7A4CD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2E932C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7C0AA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484C0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8CC5D0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A90590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72FDD"/>
    <w:multiLevelType w:val="hybridMultilevel"/>
    <w:tmpl w:val="4522B57C"/>
    <w:lvl w:ilvl="0" w:tplc="0A70A956">
      <w:start w:val="2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76451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2A73B6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7A4CD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2E932C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7C0AA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484C0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8CC5D0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A90590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A6"/>
    <w:rsid w:val="000E6FB7"/>
    <w:rsid w:val="002015F1"/>
    <w:rsid w:val="00203C99"/>
    <w:rsid w:val="00206BA1"/>
    <w:rsid w:val="00241392"/>
    <w:rsid w:val="00251F49"/>
    <w:rsid w:val="002E1E1B"/>
    <w:rsid w:val="006B5454"/>
    <w:rsid w:val="00715B05"/>
    <w:rsid w:val="007515A6"/>
    <w:rsid w:val="00797F14"/>
    <w:rsid w:val="007B73F3"/>
    <w:rsid w:val="007C24F3"/>
    <w:rsid w:val="00810F38"/>
    <w:rsid w:val="00857E01"/>
    <w:rsid w:val="00925565"/>
    <w:rsid w:val="009E1706"/>
    <w:rsid w:val="00A56013"/>
    <w:rsid w:val="00AB5F13"/>
    <w:rsid w:val="00B00570"/>
    <w:rsid w:val="00BD5157"/>
    <w:rsid w:val="00BF3152"/>
    <w:rsid w:val="00CC68BA"/>
    <w:rsid w:val="00D13244"/>
    <w:rsid w:val="00E003AD"/>
    <w:rsid w:val="00E94373"/>
    <w:rsid w:val="00EB47C6"/>
    <w:rsid w:val="00F401EC"/>
    <w:rsid w:val="00F75BB7"/>
    <w:rsid w:val="00FB55CC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2D01-6060-4309-90C0-78A1E3D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A6"/>
    <w:pPr>
      <w:spacing w:after="4" w:line="248" w:lineRule="auto"/>
      <w:ind w:left="436" w:right="713" w:firstLine="692"/>
      <w:jc w:val="both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515A6"/>
    <w:pPr>
      <w:keepNext/>
      <w:keepLines/>
      <w:spacing w:after="13" w:line="248" w:lineRule="auto"/>
      <w:ind w:left="1265" w:hanging="10"/>
      <w:outlineLvl w:val="0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5A6"/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table" w:customStyle="1" w:styleId="TableGrid">
    <w:name w:val="TableGrid"/>
    <w:rsid w:val="007515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5A6"/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a5">
    <w:name w:val="footer"/>
    <w:basedOn w:val="a"/>
    <w:link w:val="a6"/>
    <w:uiPriority w:val="99"/>
    <w:unhideWhenUsed/>
    <w:rsid w:val="0075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5A6"/>
    <w:rPr>
      <w:rFonts w:ascii="Times New Roman" w:eastAsia="Times New Roman" w:hAnsi="Times New Roman" w:cs="Times New Roman"/>
      <w:color w:val="000000"/>
      <w:sz w:val="27"/>
      <w:lang w:eastAsia="ru-RU"/>
    </w:rPr>
  </w:style>
  <w:style w:type="table" w:styleId="a7">
    <w:name w:val="Table Grid"/>
    <w:basedOn w:val="a1"/>
    <w:rsid w:val="00A56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56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Казимагомедова Светлана Николаевна</cp:lastModifiedBy>
  <cp:revision>12</cp:revision>
  <dcterms:created xsi:type="dcterms:W3CDTF">2021-12-14T13:09:00Z</dcterms:created>
  <dcterms:modified xsi:type="dcterms:W3CDTF">2024-12-28T06:15:00Z</dcterms:modified>
</cp:coreProperties>
</file>